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7E1D" w14:textId="77777777" w:rsidR="00636A4D" w:rsidRPr="00343ACC" w:rsidRDefault="00636A4D" w:rsidP="00343ACC">
      <w:pPr>
        <w:pStyle w:val="Heading2"/>
        <w:rPr>
          <w:rFonts w:ascii="Times New Roman" w:hAnsi="Times New Roman" w:cs="Times New Roman"/>
          <w:color w:val="0A0A0A"/>
          <w:sz w:val="22"/>
          <w:szCs w:val="22"/>
          <w:u w:val="single"/>
        </w:rPr>
      </w:pPr>
      <w:r w:rsidRPr="00343ACC">
        <w:rPr>
          <w:rFonts w:ascii="Times New Roman" w:hAnsi="Times New Roman" w:cs="Times New Roman"/>
          <w:color w:val="0A0A0A"/>
          <w:sz w:val="22"/>
          <w:szCs w:val="22"/>
          <w:u w:val="single"/>
        </w:rPr>
        <w:t>Lipidomics Facility</w:t>
      </w:r>
    </w:p>
    <w:p w14:paraId="4E04F5FA" w14:textId="77777777" w:rsidR="00636A4D" w:rsidRPr="00343ACC" w:rsidRDefault="00636A4D" w:rsidP="00343ACC">
      <w:pPr>
        <w:rPr>
          <w:sz w:val="22"/>
          <w:szCs w:val="22"/>
        </w:rPr>
      </w:pPr>
      <w:r w:rsidRPr="00343ACC">
        <w:rPr>
          <w:sz w:val="22"/>
          <w:szCs w:val="22"/>
        </w:rPr>
        <w:t xml:space="preserve">The lipidomics facility offers analysis of long-chain and short chain lipids from a variety of biological matrices to investigators at Rutgers and beyond. </w:t>
      </w:r>
    </w:p>
    <w:p w14:paraId="2F5D50B0" w14:textId="77777777" w:rsidR="00636A4D" w:rsidRPr="00343ACC" w:rsidRDefault="00636A4D" w:rsidP="00343ACC">
      <w:pPr>
        <w:pStyle w:val="Heading2"/>
        <w:rPr>
          <w:rFonts w:ascii="Times New Roman" w:hAnsi="Times New Roman" w:cs="Times New Roman"/>
          <w:color w:val="0A0A0A"/>
          <w:sz w:val="22"/>
          <w:szCs w:val="22"/>
          <w:u w:val="single"/>
        </w:rPr>
      </w:pPr>
      <w:r w:rsidRPr="00343ACC">
        <w:rPr>
          <w:rFonts w:ascii="Times New Roman" w:hAnsi="Times New Roman" w:cs="Times New Roman"/>
          <w:color w:val="0A0A0A"/>
          <w:sz w:val="22"/>
          <w:szCs w:val="22"/>
          <w:u w:val="single"/>
        </w:rPr>
        <w:t>Management</w:t>
      </w:r>
    </w:p>
    <w:p w14:paraId="29ED33C0" w14:textId="77777777" w:rsidR="00636A4D" w:rsidRPr="00343ACC" w:rsidRDefault="00636A4D" w:rsidP="00343ACC">
      <w:pPr>
        <w:pStyle w:val="Heading2"/>
        <w:rPr>
          <w:rFonts w:ascii="Times New Roman" w:hAnsi="Times New Roman" w:cs="Times New Roman"/>
          <w:b w:val="0"/>
          <w:bCs/>
          <w:color w:val="0A0A0A"/>
          <w:sz w:val="22"/>
          <w:szCs w:val="22"/>
        </w:rPr>
      </w:pPr>
      <w:r w:rsidRPr="00343ACC">
        <w:rPr>
          <w:rFonts w:ascii="Times New Roman" w:hAnsi="Times New Roman" w:cs="Times New Roman"/>
          <w:b w:val="0"/>
          <w:bCs/>
          <w:color w:val="0A0A0A"/>
          <w:sz w:val="22"/>
          <w:szCs w:val="22"/>
        </w:rPr>
        <w:t>Director: Dr. Harini Sampath (</w:t>
      </w:r>
      <w:hyperlink r:id="rId9" w:history="1">
        <w:r w:rsidRPr="00343ACC">
          <w:rPr>
            <w:rStyle w:val="Hyperlink"/>
            <w:rFonts w:ascii="Times New Roman" w:hAnsi="Times New Roman" w:cs="Times New Roman"/>
            <w:b w:val="0"/>
            <w:bCs/>
            <w:color w:val="005A7A"/>
            <w:sz w:val="22"/>
            <w:szCs w:val="22"/>
          </w:rPr>
          <w:t>harini.sampath@rutgers.edu</w:t>
        </w:r>
      </w:hyperlink>
      <w:r w:rsidRPr="00343ACC">
        <w:rPr>
          <w:rFonts w:ascii="Times New Roman" w:hAnsi="Times New Roman" w:cs="Times New Roman"/>
          <w:b w:val="0"/>
          <w:bCs/>
          <w:color w:val="0A0A0A"/>
          <w:sz w:val="22"/>
          <w:szCs w:val="22"/>
        </w:rPr>
        <w:t>)</w:t>
      </w:r>
    </w:p>
    <w:p w14:paraId="0BE70EFD" w14:textId="77777777" w:rsidR="00636A4D" w:rsidRPr="00343ACC" w:rsidRDefault="00636A4D" w:rsidP="00343ACC">
      <w:r w:rsidRPr="00343ACC">
        <w:t>Administrator: Roger Grillo</w:t>
      </w:r>
    </w:p>
    <w:p w14:paraId="3A36C944" w14:textId="77777777" w:rsidR="00636A4D" w:rsidRPr="00343ACC" w:rsidRDefault="00636A4D" w:rsidP="00343ACC">
      <w:p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343ACC">
        <w:rPr>
          <w:b/>
          <w:bCs/>
          <w:sz w:val="22"/>
          <w:szCs w:val="22"/>
          <w:u w:val="single"/>
        </w:rPr>
        <w:t>Services offered</w:t>
      </w:r>
    </w:p>
    <w:p w14:paraId="62D408DF" w14:textId="77777777" w:rsidR="00636A4D" w:rsidRPr="00343ACC" w:rsidRDefault="00636A4D" w:rsidP="00343AC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  <w:u w:val="single"/>
        </w:rPr>
        <w:t>Enzymatic Lipid Profiles (plasma)</w:t>
      </w:r>
      <w:r w:rsidRPr="00343ACC">
        <w:rPr>
          <w:sz w:val="22"/>
          <w:szCs w:val="22"/>
        </w:rPr>
        <w:t xml:space="preserve">: </w:t>
      </w:r>
    </w:p>
    <w:p w14:paraId="7B6544AD" w14:textId="77777777" w:rsidR="00636A4D" w:rsidRPr="00343ACC" w:rsidRDefault="00636A4D" w:rsidP="00343ACC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</w:rPr>
        <w:t>Esterified cholesterol, Free cholesterol, Triglycerides, Free fatty acids</w:t>
      </w:r>
    </w:p>
    <w:p w14:paraId="77088FBD" w14:textId="77777777" w:rsidR="00636A4D" w:rsidRPr="00343ACC" w:rsidRDefault="00636A4D" w:rsidP="00343AC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  <w:u w:val="single"/>
        </w:rPr>
        <w:t>Long chain fatty acid analysis (tissue, cell culture, plasma)</w:t>
      </w:r>
      <w:r w:rsidRPr="00343ACC">
        <w:rPr>
          <w:sz w:val="22"/>
          <w:szCs w:val="22"/>
        </w:rPr>
        <w:t xml:space="preserve">: </w:t>
      </w:r>
    </w:p>
    <w:p w14:paraId="1E7F3F45" w14:textId="77777777" w:rsidR="00636A4D" w:rsidRPr="00343ACC" w:rsidRDefault="00636A4D" w:rsidP="00343ACC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</w:rPr>
        <w:t>total lipid acyl chain composition</w:t>
      </w:r>
    </w:p>
    <w:p w14:paraId="12AB0C6A" w14:textId="1784AA33" w:rsidR="00636A4D" w:rsidRPr="00343ACC" w:rsidRDefault="00636A4D" w:rsidP="00343ACC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</w:rPr>
        <w:t>phospholipids, diglycerides, free fatty acids, triglycerides, cholesterol esters content and acyl chain composition</w:t>
      </w:r>
    </w:p>
    <w:p w14:paraId="57821788" w14:textId="7919524B" w:rsidR="00636A4D" w:rsidRPr="00343ACC" w:rsidRDefault="00636A4D" w:rsidP="00343ACC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</w:rPr>
        <w:t>Preparative TLC plates for publications/displays</w:t>
      </w:r>
    </w:p>
    <w:p w14:paraId="470809E3" w14:textId="77777777" w:rsidR="00636A4D" w:rsidRPr="00343ACC" w:rsidRDefault="00636A4D" w:rsidP="00343ACC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  <w:u w:val="single"/>
        </w:rPr>
        <w:t>Short chain fatty acid analysis (feces)</w:t>
      </w:r>
      <w:r w:rsidRPr="00343ACC">
        <w:rPr>
          <w:sz w:val="22"/>
          <w:szCs w:val="22"/>
        </w:rPr>
        <w:t xml:space="preserve">: </w:t>
      </w:r>
    </w:p>
    <w:p w14:paraId="1A7018F7" w14:textId="77777777" w:rsidR="00636A4D" w:rsidRPr="00343ACC" w:rsidRDefault="00636A4D" w:rsidP="00343ACC">
      <w:pPr>
        <w:numPr>
          <w:ilvl w:val="1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43ACC">
        <w:rPr>
          <w:sz w:val="22"/>
          <w:szCs w:val="22"/>
        </w:rPr>
        <w:t>Quantitation of C1-C6 SCFAs in mouse or human feces</w:t>
      </w:r>
    </w:p>
    <w:p w14:paraId="597A8ADB" w14:textId="77777777" w:rsidR="00636A4D" w:rsidRPr="00343ACC" w:rsidRDefault="00636A4D" w:rsidP="00343ACC">
      <w:p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343ACC">
        <w:rPr>
          <w:b/>
          <w:bCs/>
          <w:sz w:val="22"/>
          <w:szCs w:val="22"/>
          <w:u w:val="single"/>
        </w:rPr>
        <w:t>Fee structure</w:t>
      </w:r>
    </w:p>
    <w:p w14:paraId="4D2DC634" w14:textId="77777777" w:rsidR="00636A4D" w:rsidRPr="00343ACC" w:rsidRDefault="00636A4D" w:rsidP="00343ACC">
      <w:pPr>
        <w:rPr>
          <w:sz w:val="22"/>
          <w:szCs w:val="22"/>
        </w:rPr>
      </w:pPr>
      <w:r w:rsidRPr="00343ACC">
        <w:rPr>
          <w:sz w:val="22"/>
          <w:szCs w:val="22"/>
        </w:rPr>
        <w:t xml:space="preserve">Costs include sample prep from pre-weighed samples. For GC-MS analyses, costs include basic peak identification and quantitation, along with an Excel report.  </w:t>
      </w:r>
    </w:p>
    <w:p w14:paraId="7019A024" w14:textId="77777777" w:rsidR="00636A4D" w:rsidRPr="00343ACC" w:rsidRDefault="00636A4D" w:rsidP="00343ACC">
      <w:pPr>
        <w:rPr>
          <w:sz w:val="22"/>
          <w:szCs w:val="22"/>
        </w:rPr>
      </w:pPr>
    </w:p>
    <w:p w14:paraId="22216A75" w14:textId="77777777" w:rsidR="00636A4D" w:rsidRPr="00343ACC" w:rsidRDefault="00636A4D" w:rsidP="00343ACC">
      <w:pPr>
        <w:rPr>
          <w:sz w:val="22"/>
          <w:szCs w:val="22"/>
        </w:rPr>
      </w:pPr>
      <w:r w:rsidRPr="00343ACC">
        <w:rPr>
          <w:sz w:val="22"/>
          <w:szCs w:val="22"/>
        </w:rPr>
        <w:t xml:space="preserve">Additional analyses are carried out on a collaborative basis by arrangement with Dr. Harini Sampath.  </w:t>
      </w:r>
    </w:p>
    <w:p w14:paraId="76FDDB33" w14:textId="77777777" w:rsidR="00636A4D" w:rsidRPr="00343ACC" w:rsidRDefault="00636A4D" w:rsidP="00343ACC">
      <w:pPr>
        <w:rPr>
          <w:sz w:val="22"/>
          <w:szCs w:val="22"/>
        </w:rPr>
      </w:pPr>
    </w:p>
    <w:p w14:paraId="03CF256C" w14:textId="77777777" w:rsidR="00636A4D" w:rsidRPr="00343ACC" w:rsidRDefault="00636A4D" w:rsidP="00343ACC">
      <w:pPr>
        <w:rPr>
          <w:sz w:val="22"/>
          <w:szCs w:val="22"/>
        </w:rPr>
      </w:pPr>
      <w:r w:rsidRPr="00343ACC">
        <w:rPr>
          <w:sz w:val="22"/>
          <w:szCs w:val="22"/>
        </w:rPr>
        <w:t>Turn-around time is dependent on place in queue and can be estimated through prior communication with Dr. Sampath.</w:t>
      </w:r>
    </w:p>
    <w:p w14:paraId="3CDB574F" w14:textId="77777777" w:rsidR="00636A4D" w:rsidRPr="00343ACC" w:rsidRDefault="00636A4D" w:rsidP="00343ACC">
      <w:pPr>
        <w:snapToGrid w:val="0"/>
        <w:spacing w:before="100" w:beforeAutospacing="1" w:after="100" w:afterAutospacing="1"/>
        <w:contextualSpacing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6A4D" w:rsidRPr="00343ACC" w14:paraId="2DFA41FF" w14:textId="77777777" w:rsidTr="007455AB">
        <w:tc>
          <w:tcPr>
            <w:tcW w:w="3116" w:type="dxa"/>
          </w:tcPr>
          <w:p w14:paraId="45B13895" w14:textId="77777777" w:rsidR="00636A4D" w:rsidRPr="00343ACC" w:rsidRDefault="00636A4D" w:rsidP="00343AC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343ACC">
              <w:rPr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3117" w:type="dxa"/>
          </w:tcPr>
          <w:p w14:paraId="3AD47F86" w14:textId="77777777" w:rsidR="00636A4D" w:rsidRPr="00343ACC" w:rsidRDefault="00636A4D" w:rsidP="00343AC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343ACC">
              <w:rPr>
                <w:b/>
                <w:bCs/>
                <w:sz w:val="22"/>
                <w:szCs w:val="22"/>
              </w:rPr>
              <w:t>IFNH member price</w:t>
            </w:r>
          </w:p>
        </w:tc>
        <w:tc>
          <w:tcPr>
            <w:tcW w:w="3117" w:type="dxa"/>
          </w:tcPr>
          <w:p w14:paraId="052D17E4" w14:textId="77777777" w:rsidR="00636A4D" w:rsidRPr="00343ACC" w:rsidRDefault="00636A4D" w:rsidP="00343AC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343ACC">
              <w:rPr>
                <w:b/>
                <w:bCs/>
                <w:sz w:val="22"/>
                <w:szCs w:val="22"/>
              </w:rPr>
              <w:t>Non-IFNH</w:t>
            </w:r>
          </w:p>
        </w:tc>
      </w:tr>
      <w:tr w:rsidR="00636A4D" w:rsidRPr="00343ACC" w14:paraId="784FF00C" w14:textId="77777777" w:rsidTr="007455AB">
        <w:tc>
          <w:tcPr>
            <w:tcW w:w="3116" w:type="dxa"/>
          </w:tcPr>
          <w:p w14:paraId="74C2A801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Enzymatic kits</w:t>
            </w:r>
          </w:p>
        </w:tc>
        <w:tc>
          <w:tcPr>
            <w:tcW w:w="3117" w:type="dxa"/>
          </w:tcPr>
          <w:p w14:paraId="6AB41C6E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Kit price*+100/plate (</w:t>
            </w:r>
            <w:proofErr w:type="spellStart"/>
            <w:r w:rsidRPr="00343ACC">
              <w:rPr>
                <w:sz w:val="22"/>
                <w:szCs w:val="22"/>
              </w:rPr>
              <w:t>upto</w:t>
            </w:r>
            <w:proofErr w:type="spellEnd"/>
            <w:r w:rsidRPr="00343ACC">
              <w:rPr>
                <w:sz w:val="22"/>
                <w:szCs w:val="22"/>
              </w:rPr>
              <w:t xml:space="preserve"> 75 samples)</w:t>
            </w:r>
          </w:p>
        </w:tc>
        <w:tc>
          <w:tcPr>
            <w:tcW w:w="3117" w:type="dxa"/>
          </w:tcPr>
          <w:p w14:paraId="1AB3A1B9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Kit price*+200/plate (</w:t>
            </w:r>
            <w:proofErr w:type="spellStart"/>
            <w:r w:rsidRPr="00343ACC">
              <w:rPr>
                <w:sz w:val="22"/>
                <w:szCs w:val="22"/>
              </w:rPr>
              <w:t>upto</w:t>
            </w:r>
            <w:proofErr w:type="spellEnd"/>
            <w:r w:rsidRPr="00343ACC">
              <w:rPr>
                <w:sz w:val="22"/>
                <w:szCs w:val="22"/>
              </w:rPr>
              <w:t xml:space="preserve"> 75 samples)</w:t>
            </w:r>
          </w:p>
        </w:tc>
      </w:tr>
      <w:tr w:rsidR="00636A4D" w:rsidRPr="00343ACC" w14:paraId="17A56BD4" w14:textId="77777777" w:rsidTr="007455AB">
        <w:tc>
          <w:tcPr>
            <w:tcW w:w="3116" w:type="dxa"/>
          </w:tcPr>
          <w:p w14:paraId="2DB90541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Long chain fatty acids – total</w:t>
            </w:r>
          </w:p>
        </w:tc>
        <w:tc>
          <w:tcPr>
            <w:tcW w:w="3117" w:type="dxa"/>
          </w:tcPr>
          <w:p w14:paraId="2E0B630F" w14:textId="11A7514E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</w:t>
            </w:r>
            <w:r w:rsidR="00F96DEB">
              <w:rPr>
                <w:sz w:val="22"/>
                <w:szCs w:val="22"/>
              </w:rPr>
              <w:t>2</w:t>
            </w:r>
            <w:r w:rsidRPr="00343ACC">
              <w:rPr>
                <w:sz w:val="22"/>
                <w:szCs w:val="22"/>
              </w:rPr>
              <w:t>0/sample</w:t>
            </w:r>
            <w:r w:rsidR="005F1B7F">
              <w:rPr>
                <w:sz w:val="22"/>
                <w:szCs w:val="22"/>
              </w:rPr>
              <w:t xml:space="preserve"> </w:t>
            </w:r>
            <w:r w:rsidR="005F1B7F" w:rsidRPr="00343ACC">
              <w:rPr>
                <w:sz w:val="22"/>
                <w:szCs w:val="22"/>
              </w:rPr>
              <w:t>(each injection is a sample)</w:t>
            </w:r>
          </w:p>
        </w:tc>
        <w:tc>
          <w:tcPr>
            <w:tcW w:w="3117" w:type="dxa"/>
          </w:tcPr>
          <w:p w14:paraId="05E40521" w14:textId="5A70B9B5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</w:t>
            </w:r>
            <w:r w:rsidR="005F1B7F">
              <w:rPr>
                <w:sz w:val="22"/>
                <w:szCs w:val="22"/>
              </w:rPr>
              <w:t>4</w:t>
            </w:r>
            <w:r w:rsidRPr="00343ACC">
              <w:rPr>
                <w:sz w:val="22"/>
                <w:szCs w:val="22"/>
              </w:rPr>
              <w:t>0/ sample</w:t>
            </w:r>
            <w:r w:rsidR="00DB0A3A">
              <w:rPr>
                <w:sz w:val="22"/>
                <w:szCs w:val="22"/>
              </w:rPr>
              <w:t xml:space="preserve"> </w:t>
            </w:r>
            <w:r w:rsidR="00DB0A3A" w:rsidRPr="00343ACC">
              <w:rPr>
                <w:sz w:val="22"/>
                <w:szCs w:val="22"/>
              </w:rPr>
              <w:t>(each injection is a sample)</w:t>
            </w:r>
          </w:p>
        </w:tc>
      </w:tr>
      <w:tr w:rsidR="00636A4D" w:rsidRPr="00343ACC" w14:paraId="063C7075" w14:textId="77777777" w:rsidTr="007455AB">
        <w:tc>
          <w:tcPr>
            <w:tcW w:w="3116" w:type="dxa"/>
          </w:tcPr>
          <w:p w14:paraId="40265744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Long chain fatty acids with TLC separation of lipid classes</w:t>
            </w:r>
          </w:p>
        </w:tc>
        <w:tc>
          <w:tcPr>
            <w:tcW w:w="3117" w:type="dxa"/>
          </w:tcPr>
          <w:p w14:paraId="19EEAED6" w14:textId="61938190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</w:t>
            </w:r>
            <w:r w:rsidR="00606671" w:rsidRPr="00343ACC">
              <w:rPr>
                <w:sz w:val="22"/>
                <w:szCs w:val="22"/>
              </w:rPr>
              <w:t>30</w:t>
            </w:r>
            <w:r w:rsidRPr="00343ACC">
              <w:rPr>
                <w:sz w:val="22"/>
                <w:szCs w:val="22"/>
              </w:rPr>
              <w:t>/sample</w:t>
            </w:r>
            <w:r w:rsidR="00606671" w:rsidRPr="00343ACC">
              <w:rPr>
                <w:sz w:val="22"/>
                <w:szCs w:val="22"/>
              </w:rPr>
              <w:t xml:space="preserve"> (</w:t>
            </w:r>
            <w:r w:rsidR="000D2FD4" w:rsidRPr="00343ACC">
              <w:rPr>
                <w:sz w:val="22"/>
                <w:szCs w:val="22"/>
              </w:rPr>
              <w:t>each injection is a sample)</w:t>
            </w:r>
          </w:p>
        </w:tc>
        <w:tc>
          <w:tcPr>
            <w:tcW w:w="3117" w:type="dxa"/>
          </w:tcPr>
          <w:p w14:paraId="74B60721" w14:textId="2B4D7C8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</w:t>
            </w:r>
            <w:r w:rsidR="000D2FD4" w:rsidRPr="00343ACC">
              <w:rPr>
                <w:sz w:val="22"/>
                <w:szCs w:val="22"/>
              </w:rPr>
              <w:t>60</w:t>
            </w:r>
            <w:r w:rsidRPr="00343ACC">
              <w:rPr>
                <w:sz w:val="22"/>
                <w:szCs w:val="22"/>
              </w:rPr>
              <w:t>/ sample</w:t>
            </w:r>
            <w:r w:rsidR="00DB0A3A">
              <w:rPr>
                <w:sz w:val="22"/>
                <w:szCs w:val="22"/>
              </w:rPr>
              <w:t xml:space="preserve"> </w:t>
            </w:r>
            <w:r w:rsidR="00DB0A3A" w:rsidRPr="00343ACC">
              <w:rPr>
                <w:sz w:val="22"/>
                <w:szCs w:val="22"/>
              </w:rPr>
              <w:t>(each injection is a sample)</w:t>
            </w:r>
          </w:p>
        </w:tc>
      </w:tr>
      <w:tr w:rsidR="00636A4D" w:rsidRPr="00343ACC" w14:paraId="0132862E" w14:textId="77777777" w:rsidTr="007455AB">
        <w:tc>
          <w:tcPr>
            <w:tcW w:w="3116" w:type="dxa"/>
          </w:tcPr>
          <w:p w14:paraId="57B2E888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Long chain fatty acids display TLC</w:t>
            </w:r>
          </w:p>
        </w:tc>
        <w:tc>
          <w:tcPr>
            <w:tcW w:w="3117" w:type="dxa"/>
          </w:tcPr>
          <w:p w14:paraId="058F93CF" w14:textId="716F4B5A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</w:t>
            </w:r>
            <w:r w:rsidR="000D2FD4" w:rsidRPr="00343ACC">
              <w:rPr>
                <w:sz w:val="22"/>
                <w:szCs w:val="22"/>
              </w:rPr>
              <w:t>1</w:t>
            </w:r>
            <w:r w:rsidRPr="00343ACC">
              <w:rPr>
                <w:sz w:val="22"/>
                <w:szCs w:val="22"/>
              </w:rPr>
              <w:t>00/</w:t>
            </w:r>
            <w:r w:rsidR="005F1B7F">
              <w:rPr>
                <w:sz w:val="22"/>
                <w:szCs w:val="22"/>
              </w:rPr>
              <w:t xml:space="preserve">up to </w:t>
            </w:r>
            <w:r w:rsidRPr="00343ACC">
              <w:rPr>
                <w:sz w:val="22"/>
                <w:szCs w:val="22"/>
              </w:rPr>
              <w:t>9 samples</w:t>
            </w:r>
          </w:p>
        </w:tc>
        <w:tc>
          <w:tcPr>
            <w:tcW w:w="3117" w:type="dxa"/>
          </w:tcPr>
          <w:p w14:paraId="70261CFA" w14:textId="447BF8DF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$200/</w:t>
            </w:r>
            <w:r w:rsidR="005F1B7F">
              <w:rPr>
                <w:sz w:val="22"/>
                <w:szCs w:val="22"/>
              </w:rPr>
              <w:t xml:space="preserve"> up to </w:t>
            </w:r>
            <w:r w:rsidR="005F1B7F" w:rsidRPr="00343ACC">
              <w:rPr>
                <w:sz w:val="22"/>
                <w:szCs w:val="22"/>
              </w:rPr>
              <w:t>9 samples</w:t>
            </w:r>
          </w:p>
        </w:tc>
      </w:tr>
      <w:tr w:rsidR="00636A4D" w:rsidRPr="00343ACC" w14:paraId="7E70C815" w14:textId="77777777" w:rsidTr="007455AB">
        <w:tc>
          <w:tcPr>
            <w:tcW w:w="3116" w:type="dxa"/>
          </w:tcPr>
          <w:p w14:paraId="0A5240CC" w14:textId="6B2D25EF" w:rsidR="00636A4D" w:rsidRPr="00343ACC" w:rsidRDefault="005F1B7F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Fecal </w:t>
            </w:r>
            <w:r w:rsidR="00636A4D" w:rsidRPr="00343ACC">
              <w:rPr>
                <w:sz w:val="22"/>
                <w:szCs w:val="22"/>
              </w:rPr>
              <w:t>SCFAs</w:t>
            </w:r>
          </w:p>
        </w:tc>
        <w:tc>
          <w:tcPr>
            <w:tcW w:w="3117" w:type="dxa"/>
          </w:tcPr>
          <w:p w14:paraId="108C7A6D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$20/ sample</w:t>
            </w:r>
          </w:p>
        </w:tc>
        <w:tc>
          <w:tcPr>
            <w:tcW w:w="3117" w:type="dxa"/>
          </w:tcPr>
          <w:p w14:paraId="78415BEF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$40/ sample</w:t>
            </w:r>
          </w:p>
        </w:tc>
      </w:tr>
      <w:tr w:rsidR="00636A4D" w:rsidRPr="00343ACC" w14:paraId="5B2DCD02" w14:textId="77777777" w:rsidTr="007455AB">
        <w:tc>
          <w:tcPr>
            <w:tcW w:w="3116" w:type="dxa"/>
          </w:tcPr>
          <w:p w14:paraId="47B8D792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3ACC">
              <w:rPr>
                <w:sz w:val="22"/>
                <w:szCs w:val="22"/>
              </w:rPr>
              <w:t>*Kit price upon inquiry</w:t>
            </w:r>
          </w:p>
        </w:tc>
        <w:tc>
          <w:tcPr>
            <w:tcW w:w="3117" w:type="dxa"/>
          </w:tcPr>
          <w:p w14:paraId="1932E551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0940FC5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071EBAC5" w14:textId="77777777" w:rsidR="00636A4D" w:rsidRPr="00343ACC" w:rsidRDefault="00636A4D" w:rsidP="00343ACC">
      <w:pPr>
        <w:spacing w:before="100" w:beforeAutospacing="1" w:after="100" w:afterAutospacing="1"/>
        <w:rPr>
          <w:b/>
          <w:bCs/>
          <w:sz w:val="22"/>
          <w:szCs w:val="22"/>
          <w:u w:val="single"/>
        </w:rPr>
      </w:pPr>
      <w:r w:rsidRPr="00343ACC">
        <w:rPr>
          <w:b/>
          <w:bCs/>
          <w:sz w:val="22"/>
          <w:szCs w:val="22"/>
          <w:u w:val="single"/>
        </w:rPr>
        <w:t>Sample preparation</w:t>
      </w:r>
    </w:p>
    <w:p w14:paraId="40EFC067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lastRenderedPageBreak/>
        <w:t>Tissue/cell samples should be weighed and frozen in liquid nitrogen immediately after collection.</w:t>
      </w:r>
    </w:p>
    <w:p w14:paraId="48B50908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Feces should be freshly collected, weighed, and frozen in liquid nitrogen immediately after collection.</w:t>
      </w:r>
    </w:p>
    <w:p w14:paraId="64285B09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Serum or EDTA plasma should be removed from the red cells as soon as possible after collection and then frozen.</w:t>
      </w:r>
    </w:p>
    <w:p w14:paraId="7B394E05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Samples with gross hemolysis or lipemia may yield false results.</w:t>
      </w:r>
    </w:p>
    <w:p w14:paraId="60730947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Heparin is not acceptable as an anticoagulant for lipid profiles.</w:t>
      </w:r>
    </w:p>
    <w:p w14:paraId="3837E58D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All samples should be stored at -70°C until shipped.</w:t>
      </w:r>
    </w:p>
    <w:p w14:paraId="536E1642" w14:textId="77777777" w:rsidR="00636A4D" w:rsidRPr="00343ACC" w:rsidRDefault="00636A4D" w:rsidP="00343ACC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ja-JP"/>
        </w:rPr>
      </w:pPr>
      <w:r w:rsidRPr="00343ACC">
        <w:rPr>
          <w:sz w:val="22"/>
          <w:szCs w:val="22"/>
          <w:lang w:eastAsia="ja-JP"/>
        </w:rPr>
        <w:t>Please label all tubes clearly and legibly.</w:t>
      </w:r>
    </w:p>
    <w:p w14:paraId="4158B91E" w14:textId="77777777" w:rsidR="00636A4D" w:rsidRPr="00343ACC" w:rsidRDefault="00636A4D" w:rsidP="00343ACC">
      <w:pPr>
        <w:rPr>
          <w:b/>
          <w:bCs/>
          <w:sz w:val="22"/>
          <w:szCs w:val="22"/>
          <w:u w:val="single"/>
        </w:rPr>
      </w:pPr>
      <w:r w:rsidRPr="00343ACC">
        <w:rPr>
          <w:b/>
          <w:bCs/>
          <w:sz w:val="22"/>
          <w:szCs w:val="22"/>
          <w:u w:val="single"/>
          <w:lang w:eastAsia="ja-JP"/>
        </w:rPr>
        <w:t>Sample requirements</w:t>
      </w:r>
    </w:p>
    <w:p w14:paraId="03C29742" w14:textId="77777777" w:rsidR="00636A4D" w:rsidRPr="00343ACC" w:rsidRDefault="00636A4D" w:rsidP="00343ACC">
      <w:pPr>
        <w:rPr>
          <w:sz w:val="22"/>
          <w:szCs w:val="22"/>
        </w:rPr>
      </w:pPr>
    </w:p>
    <w:tbl>
      <w:tblPr>
        <w:tblW w:w="9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87"/>
        <w:gridCol w:w="3333"/>
        <w:gridCol w:w="2965"/>
      </w:tblGrid>
      <w:tr w:rsidR="00636A4D" w:rsidRPr="00343ACC" w14:paraId="111BE8DD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16CE8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Assay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E763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Requirements for Human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8720B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Requirements for Mouse</w:t>
            </w:r>
          </w:p>
        </w:tc>
      </w:tr>
      <w:tr w:rsidR="00636A4D" w:rsidRPr="00343ACC" w14:paraId="32C860B0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12A18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Plasma/Serum Cholesterol (enzymatic)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C351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  plasma or serum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EA26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  plasma or serum</w:t>
            </w:r>
          </w:p>
        </w:tc>
      </w:tr>
      <w:tr w:rsidR="00636A4D" w:rsidRPr="00343ACC" w14:paraId="3D349002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1235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Plasma/Serum Triglycerides (enzymatic)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6607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 plasma or serum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EE2A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  plasma or serum</w:t>
            </w:r>
          </w:p>
        </w:tc>
      </w:tr>
      <w:tr w:rsidR="00636A4D" w:rsidRPr="00343ACC" w14:paraId="35517A7F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72E5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Plasma/Serum FFA (enzymatic)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90B0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 plasma or serum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6D14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20 µl plasma or serum</w:t>
            </w:r>
          </w:p>
        </w:tc>
      </w:tr>
      <w:tr w:rsidR="00636A4D" w:rsidRPr="00343ACC" w14:paraId="3BF866D4" w14:textId="77777777" w:rsidTr="007455AB">
        <w:trPr>
          <w:tblCellSpacing w:w="15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3900" w14:textId="77777777" w:rsidR="00636A4D" w:rsidRPr="00343ACC" w:rsidRDefault="00636A4D" w:rsidP="00343ACC">
            <w:pPr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 </w:t>
            </w:r>
          </w:p>
        </w:tc>
      </w:tr>
      <w:tr w:rsidR="00636A4D" w:rsidRPr="00343ACC" w14:paraId="32982E2F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A4D6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Plasma/Serum FFA (GC)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8D12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500 µl plasma or serum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B186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150 µl plasma or serum</w:t>
            </w:r>
          </w:p>
        </w:tc>
      </w:tr>
      <w:tr w:rsidR="00636A4D" w:rsidRPr="00343ACC" w14:paraId="3DD9A999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8603" w14:textId="77777777" w:rsidR="00636A4D" w:rsidRPr="00343ACC" w:rsidRDefault="00636A4D" w:rsidP="00343ACC">
            <w:pPr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Tissue/Cell FFA (GC)*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1D8C3" w14:textId="77777777" w:rsidR="00636A4D" w:rsidRPr="00343ACC" w:rsidRDefault="00636A4D" w:rsidP="00343ACC">
            <w:pPr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5891B" w14:textId="77777777" w:rsidR="00636A4D" w:rsidRPr="00343ACC" w:rsidRDefault="00636A4D" w:rsidP="00343ACC">
            <w:pPr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</w:tr>
      <w:tr w:rsidR="00636A4D" w:rsidRPr="00343ACC" w14:paraId="0DA5A30F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35C9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Tissue/Cell Diglyceride (GC)*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4CBE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DE01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</w:tr>
      <w:tr w:rsidR="00636A4D" w:rsidRPr="00343ACC" w14:paraId="148C95A8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2FFF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Tissue/Cell Phospholipid (GC)*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104B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F219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</w:tr>
      <w:tr w:rsidR="00636A4D" w:rsidRPr="00343ACC" w14:paraId="5C4D577D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0912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Tissue/Cell Triglycerides (GC)*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FCD6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7CFA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</w:tr>
      <w:tr w:rsidR="00636A4D" w:rsidRPr="00343ACC" w14:paraId="140AE736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39FE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Tissue/Cell Cholesterol esters (GC)*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7881D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74E8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~30-100 mg tissue</w:t>
            </w:r>
          </w:p>
        </w:tc>
      </w:tr>
      <w:tr w:rsidR="00636A4D" w:rsidRPr="00343ACC" w14:paraId="64305E90" w14:textId="77777777" w:rsidTr="007455AB">
        <w:trPr>
          <w:tblCellSpacing w:w="15" w:type="dxa"/>
        </w:trPr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4D112" w14:textId="77777777" w:rsidR="00636A4D" w:rsidRPr="00343ACC" w:rsidRDefault="00636A4D" w:rsidP="00343ACC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ja-JP"/>
              </w:rPr>
            </w:pPr>
            <w:r w:rsidRPr="00343ACC">
              <w:rPr>
                <w:b/>
                <w:bCs/>
                <w:sz w:val="22"/>
                <w:szCs w:val="22"/>
                <w:lang w:eastAsia="ja-JP"/>
              </w:rPr>
              <w:t>Fecal SCFAs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59D6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100 mg feces</w:t>
            </w:r>
          </w:p>
        </w:tc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4265B" w14:textId="77777777" w:rsidR="00636A4D" w:rsidRPr="00343ACC" w:rsidRDefault="00636A4D" w:rsidP="00343ACC">
            <w:pPr>
              <w:spacing w:before="100" w:beforeAutospacing="1" w:after="100" w:afterAutospacing="1"/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t>100 mg feces</w:t>
            </w:r>
          </w:p>
        </w:tc>
      </w:tr>
      <w:tr w:rsidR="00636A4D" w:rsidRPr="004611CC" w14:paraId="19D74DD3" w14:textId="77777777" w:rsidTr="007455AB">
        <w:trPr>
          <w:tblCellSpacing w:w="15" w:type="dxa"/>
        </w:trPr>
        <w:tc>
          <w:tcPr>
            <w:tcW w:w="9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B93E" w14:textId="77777777" w:rsidR="00636A4D" w:rsidRPr="004611CC" w:rsidRDefault="00636A4D" w:rsidP="00343ACC">
            <w:pPr>
              <w:rPr>
                <w:sz w:val="22"/>
                <w:szCs w:val="22"/>
                <w:lang w:eastAsia="ja-JP"/>
              </w:rPr>
            </w:pPr>
            <w:r w:rsidRPr="00343ACC">
              <w:rPr>
                <w:sz w:val="22"/>
                <w:szCs w:val="22"/>
                <w:lang w:eastAsia="ja-JP"/>
              </w:rPr>
              <w:lastRenderedPageBreak/>
              <w:t>    *</w:t>
            </w:r>
            <w:proofErr w:type="gramStart"/>
            <w:r w:rsidRPr="00343ACC">
              <w:rPr>
                <w:sz w:val="22"/>
                <w:szCs w:val="22"/>
                <w:lang w:eastAsia="ja-JP"/>
              </w:rPr>
              <w:t>all</w:t>
            </w:r>
            <w:proofErr w:type="gramEnd"/>
            <w:r w:rsidRPr="00343ACC">
              <w:rPr>
                <w:sz w:val="22"/>
                <w:szCs w:val="22"/>
                <w:lang w:eastAsia="ja-JP"/>
              </w:rPr>
              <w:t xml:space="preserve"> tissue analyses can be conducted using a single sample</w:t>
            </w:r>
          </w:p>
        </w:tc>
      </w:tr>
    </w:tbl>
    <w:p w14:paraId="1CF16345" w14:textId="77777777" w:rsidR="00520326" w:rsidRDefault="00520326" w:rsidP="00343ACC"/>
    <w:sectPr w:rsidR="0052032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140B" w14:textId="77777777" w:rsidR="001565C7" w:rsidRDefault="001565C7" w:rsidP="001565C7">
      <w:r>
        <w:separator/>
      </w:r>
    </w:p>
  </w:endnote>
  <w:endnote w:type="continuationSeparator" w:id="0">
    <w:p w14:paraId="19B93B8A" w14:textId="77777777" w:rsidR="001565C7" w:rsidRDefault="001565C7" w:rsidP="0015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1510" w14:textId="747B5577" w:rsidR="001565C7" w:rsidRDefault="001565C7" w:rsidP="001565C7">
    <w:pPr>
      <w:pStyle w:val="Footer"/>
      <w:jc w:val="right"/>
    </w:pPr>
    <w:r>
      <w:rPr>
        <w:noProof/>
      </w:rPr>
      <w:drawing>
        <wp:inline distT="0" distB="0" distL="0" distR="0" wp14:anchorId="3A8AA5F3" wp14:editId="406287FD">
          <wp:extent cx="365760" cy="365760"/>
          <wp:effectExtent l="0" t="0" r="0" b="0"/>
          <wp:docPr id="2" name="Picture 2" descr="IFNH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FNH graph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CB93" w14:textId="77777777" w:rsidR="001565C7" w:rsidRDefault="001565C7" w:rsidP="001565C7">
      <w:r>
        <w:separator/>
      </w:r>
    </w:p>
  </w:footnote>
  <w:footnote w:type="continuationSeparator" w:id="0">
    <w:p w14:paraId="033403E5" w14:textId="77777777" w:rsidR="001565C7" w:rsidRDefault="001565C7" w:rsidP="0015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38EF" w14:textId="23D74AEA" w:rsidR="001565C7" w:rsidRDefault="007A3787">
    <w:pPr>
      <w:pStyle w:val="Header"/>
    </w:pPr>
    <w:r>
      <w:rPr>
        <w:noProof/>
      </w:rPr>
      <w:drawing>
        <wp:inline distT="0" distB="0" distL="0" distR="0" wp14:anchorId="7281A44E" wp14:editId="4B6397F7">
          <wp:extent cx="2023872" cy="640080"/>
          <wp:effectExtent l="0" t="0" r="0" b="762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1A776" w14:textId="77777777" w:rsidR="007A3787" w:rsidRDefault="007A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D1D"/>
    <w:multiLevelType w:val="multilevel"/>
    <w:tmpl w:val="7E7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B128A"/>
    <w:multiLevelType w:val="multilevel"/>
    <w:tmpl w:val="C90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7114008">
    <w:abstractNumId w:val="1"/>
  </w:num>
  <w:num w:numId="2" w16cid:durableId="162950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6A4D"/>
    <w:rsid w:val="000D2FD4"/>
    <w:rsid w:val="001565C7"/>
    <w:rsid w:val="00343ACC"/>
    <w:rsid w:val="00520326"/>
    <w:rsid w:val="005F1B7F"/>
    <w:rsid w:val="00606671"/>
    <w:rsid w:val="00636A4D"/>
    <w:rsid w:val="007605FD"/>
    <w:rsid w:val="007A3787"/>
    <w:rsid w:val="009D3A4F"/>
    <w:rsid w:val="00DB0A3A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F77D0A"/>
  <w15:chartTrackingRefBased/>
  <w15:docId w15:val="{0B3F1D48-6C61-482D-921E-8AE69EDF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4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A4D"/>
    <w:rPr>
      <w:rFonts w:ascii="Calibri" w:eastAsia="Calibri" w:hAnsi="Calibri" w:cs="Calibri"/>
      <w:b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36A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A4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36A4D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C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C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rini.sampath@rutger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66628074EFE44AB39B8E5CAF4E723" ma:contentTypeVersion="16" ma:contentTypeDescription="Create a new document." ma:contentTypeScope="" ma:versionID="c73b6e9e6c9360d311e2c7db5eb43dff">
  <xsd:schema xmlns:xsd="http://www.w3.org/2001/XMLSchema" xmlns:xs="http://www.w3.org/2001/XMLSchema" xmlns:p="http://schemas.microsoft.com/office/2006/metadata/properties" xmlns:ns2="09da4275-f4b3-44ae-9700-71fe6d396c2e" xmlns:ns3="10a7de40-519a-40bb-9813-82ecc7808db3" targetNamespace="http://schemas.microsoft.com/office/2006/metadata/properties" ma:root="true" ma:fieldsID="aa80d557c3049a09f11c6cd8807d66d1" ns2:_="" ns3:_="">
    <xsd:import namespace="09da4275-f4b3-44ae-9700-71fe6d396c2e"/>
    <xsd:import namespace="10a7de40-519a-40bb-9813-82ecc7808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a4275-f4b3-44ae-9700-71fe6d396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8fd182-3af3-4b45-858c-95346ee1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7de40-519a-40bb-9813-82ecc7808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3e86a-15a1-4cbd-b1d0-3e8d973fa6b0}" ma:internalName="TaxCatchAll" ma:showField="CatchAllData" ma:web="10a7de40-519a-40bb-9813-82ecc7808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6385E-B1E6-4A35-B381-07FA84407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FC2F2-189A-4E86-BE7C-A3EC429E6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a4275-f4b3-44ae-9700-71fe6d396c2e"/>
    <ds:schemaRef ds:uri="10a7de40-519a-40bb-9813-82ecc7808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Harini Sampath</dc:creator>
  <cp:keywords/>
  <dc:description/>
  <cp:lastModifiedBy>Roger Grillo</cp:lastModifiedBy>
  <cp:revision>10</cp:revision>
  <cp:lastPrinted>2023-01-13T14:25:00Z</cp:lastPrinted>
  <dcterms:created xsi:type="dcterms:W3CDTF">2022-05-31T13:12:00Z</dcterms:created>
  <dcterms:modified xsi:type="dcterms:W3CDTF">2023-01-13T16:44:00Z</dcterms:modified>
</cp:coreProperties>
</file>